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82EA" w14:textId="77777777" w:rsidR="00A27BB1" w:rsidRDefault="00A27BB1" w:rsidP="00A27BB1">
      <w:pPr>
        <w:jc w:val="center"/>
        <w:outlineLvl w:val="0"/>
        <w:rPr>
          <w:b/>
          <w:bCs/>
        </w:rPr>
      </w:pPr>
    </w:p>
    <w:p w14:paraId="672AF74A" w14:textId="77777777" w:rsidR="00A27BB1" w:rsidRDefault="00A27BB1" w:rsidP="00A27BB1">
      <w:pPr>
        <w:jc w:val="center"/>
        <w:outlineLvl w:val="0"/>
        <w:rPr>
          <w:b/>
          <w:bCs/>
        </w:rPr>
      </w:pPr>
      <w:r w:rsidRPr="00C5156F">
        <w:rPr>
          <w:b/>
          <w:bCs/>
        </w:rPr>
        <w:t>PATEIKTŲ PASIŪLYMŲ ĮGYVENDINIMAS</w:t>
      </w:r>
      <w:r w:rsidRPr="00C5156F">
        <w:rPr>
          <w:rStyle w:val="FootnoteReference"/>
          <w:b/>
          <w:bCs/>
        </w:rPr>
        <w:footnoteReference w:id="1"/>
      </w:r>
    </w:p>
    <w:p w14:paraId="53E5F66E" w14:textId="77777777" w:rsidR="00B04850" w:rsidRDefault="00B04850" w:rsidP="00B04850">
      <w:pPr>
        <w:outlineLvl w:val="0"/>
        <w:rPr>
          <w:b/>
          <w:bCs/>
        </w:rPr>
      </w:pPr>
    </w:p>
    <w:p w14:paraId="049432BC" w14:textId="77777777" w:rsidR="00A27BB1" w:rsidRDefault="00A27BB1" w:rsidP="00A27BB1"/>
    <w:tbl>
      <w:tblPr>
        <w:tblStyle w:val="TableGrid"/>
        <w:tblW w:w="0" w:type="auto"/>
        <w:tblLook w:val="04A0" w:firstRow="1" w:lastRow="0" w:firstColumn="1" w:lastColumn="0" w:noHBand="0" w:noVBand="1"/>
      </w:tblPr>
      <w:tblGrid>
        <w:gridCol w:w="4106"/>
        <w:gridCol w:w="3969"/>
        <w:gridCol w:w="4111"/>
        <w:gridCol w:w="2090"/>
      </w:tblGrid>
      <w:tr w:rsidR="00A27BB1" w:rsidRPr="002B3452" w14:paraId="0FBF5055" w14:textId="77777777" w:rsidTr="00CC220C">
        <w:tc>
          <w:tcPr>
            <w:tcW w:w="4106" w:type="dxa"/>
          </w:tcPr>
          <w:p w14:paraId="446B00A2" w14:textId="77777777" w:rsidR="00A27BB1" w:rsidRPr="008F1D8D" w:rsidRDefault="00A27BB1" w:rsidP="00610745">
            <w:pPr>
              <w:widowControl w:val="0"/>
              <w:jc w:val="center"/>
              <w:rPr>
                <w:i/>
                <w:snapToGrid w:val="0"/>
              </w:rPr>
            </w:pPr>
            <w:r w:rsidRPr="008F1D8D">
              <w:rPr>
                <w:i/>
                <w:snapToGrid w:val="0"/>
              </w:rPr>
              <w:t>Pateiktos pastabos</w:t>
            </w:r>
          </w:p>
        </w:tc>
        <w:tc>
          <w:tcPr>
            <w:tcW w:w="3969" w:type="dxa"/>
          </w:tcPr>
          <w:p w14:paraId="58041261" w14:textId="77777777" w:rsidR="00A27BB1" w:rsidRPr="008F1D8D" w:rsidRDefault="00A27BB1" w:rsidP="00610745">
            <w:pPr>
              <w:widowControl w:val="0"/>
              <w:jc w:val="center"/>
              <w:rPr>
                <w:i/>
                <w:snapToGrid w:val="0"/>
              </w:rPr>
            </w:pPr>
            <w:r w:rsidRPr="008F1D8D">
              <w:rPr>
                <w:i/>
                <w:snapToGrid w:val="0"/>
              </w:rPr>
              <w:t>Pasiūlymai atsižvelgiant į pateiktas pastabas</w:t>
            </w:r>
          </w:p>
        </w:tc>
        <w:tc>
          <w:tcPr>
            <w:tcW w:w="4111" w:type="dxa"/>
          </w:tcPr>
          <w:p w14:paraId="2F41F0AD" w14:textId="77777777" w:rsidR="00A27BB1" w:rsidRPr="008F1D8D" w:rsidRDefault="00A27BB1" w:rsidP="00610745">
            <w:pPr>
              <w:widowControl w:val="0"/>
              <w:jc w:val="center"/>
              <w:rPr>
                <w:i/>
                <w:snapToGrid w:val="0"/>
              </w:rPr>
            </w:pPr>
            <w:r w:rsidRPr="008F1D8D">
              <w:rPr>
                <w:i/>
                <w:snapToGrid w:val="0"/>
              </w:rPr>
              <w:t>Duomenys apie pastabų ir pasiūlymų įgyvendinimą</w:t>
            </w:r>
          </w:p>
        </w:tc>
        <w:tc>
          <w:tcPr>
            <w:tcW w:w="2090" w:type="dxa"/>
          </w:tcPr>
          <w:p w14:paraId="0FBAE3BC" w14:textId="77777777" w:rsidR="00A27BB1" w:rsidRPr="008F1D8D" w:rsidRDefault="00A27BB1" w:rsidP="00610745">
            <w:pPr>
              <w:widowControl w:val="0"/>
              <w:jc w:val="center"/>
              <w:rPr>
                <w:i/>
                <w:snapToGrid w:val="0"/>
              </w:rPr>
            </w:pPr>
            <w:r w:rsidRPr="008F1D8D">
              <w:rPr>
                <w:i/>
                <w:snapToGrid w:val="0"/>
              </w:rPr>
              <w:t>Specialiųjų tyrimų tarnybos vertinimas</w:t>
            </w:r>
          </w:p>
        </w:tc>
      </w:tr>
      <w:tr w:rsidR="00A27BB1" w:rsidRPr="002B3452" w14:paraId="063249BE" w14:textId="77777777" w:rsidTr="00435D5B">
        <w:tc>
          <w:tcPr>
            <w:tcW w:w="14276" w:type="dxa"/>
            <w:gridSpan w:val="4"/>
          </w:tcPr>
          <w:p w14:paraId="397986B9" w14:textId="77777777" w:rsidR="00A27BB1" w:rsidRPr="008F1D8D" w:rsidRDefault="00A27BB1" w:rsidP="00610745">
            <w:pPr>
              <w:pStyle w:val="ListParagraph"/>
              <w:widowControl w:val="0"/>
              <w:numPr>
                <w:ilvl w:val="0"/>
                <w:numId w:val="1"/>
              </w:numPr>
              <w:jc w:val="center"/>
              <w:rPr>
                <w:i/>
                <w:snapToGrid w:val="0"/>
              </w:rPr>
            </w:pPr>
            <w:r w:rsidRPr="008F1D8D">
              <w:rPr>
                <w:i/>
                <w:snapToGrid w:val="0"/>
              </w:rPr>
              <w:t>Kritinės antikorupcinės pastabos</w:t>
            </w:r>
          </w:p>
        </w:tc>
      </w:tr>
      <w:tr w:rsidR="00A27BB1" w:rsidRPr="002B3452" w14:paraId="12254E44" w14:textId="77777777" w:rsidTr="00CC220C">
        <w:tc>
          <w:tcPr>
            <w:tcW w:w="4106" w:type="dxa"/>
          </w:tcPr>
          <w:p w14:paraId="2480FEC9" w14:textId="0AAB2116" w:rsidR="00A27BB1" w:rsidRDefault="0040618C" w:rsidP="00610745">
            <w:pPr>
              <w:widowControl w:val="0"/>
              <w:rPr>
                <w:snapToGrid w:val="0"/>
              </w:rPr>
            </w:pPr>
            <w:r>
              <w:rPr>
                <w:snapToGrid w:val="0"/>
              </w:rPr>
              <w:t>T</w:t>
            </w:r>
            <w:r w:rsidRPr="0040618C">
              <w:rPr>
                <w:snapToGrid w:val="0"/>
              </w:rPr>
              <w:t xml:space="preserve">eisiniame reglamentavime nenumatyti aiškūs būsto (patalpų) pripažinimo ,,tinkamomis gyventi“, bet ,,remontuoti netikslingomis“ arba ,,netinkamomis gyventi“ bet ,,remontuoti netikslingomis“ kriterijai, iki galo neišsamūs </w:t>
            </w:r>
            <w:r w:rsidR="00686FD1">
              <w:rPr>
                <w:snapToGrid w:val="0"/>
              </w:rPr>
              <w:t>k</w:t>
            </w:r>
            <w:r w:rsidRPr="0040618C">
              <w:rPr>
                <w:snapToGrid w:val="0"/>
              </w:rPr>
              <w:t>omisijų dokumentai gali sudaryti sąlygas skirtingai praktikai, kuri kelia neobjektyvių sprendimų priėmimo ir neteisėtų susitarimų rizikas, kai gali būti siekiama patalpas pripažinti netinkamomis gyventi ar remontuoti, vėliau jas parduoti, pavyzdžiui, nustatant kainą ir siūlant turtą įsigyti bendraturčiams arba parduodant viešo aukciono būdu.</w:t>
            </w:r>
          </w:p>
          <w:p w14:paraId="3E090D65" w14:textId="51DDF5D5" w:rsidR="00E30F3A" w:rsidRDefault="00A36F24" w:rsidP="00610745">
            <w:pPr>
              <w:widowControl w:val="0"/>
              <w:rPr>
                <w:snapToGrid w:val="0"/>
              </w:rPr>
            </w:pPr>
            <w:r>
              <w:rPr>
                <w:snapToGrid w:val="0"/>
              </w:rPr>
              <w:t>K</w:t>
            </w:r>
            <w:r w:rsidRPr="00A36F24">
              <w:rPr>
                <w:snapToGrid w:val="0"/>
              </w:rPr>
              <w:t xml:space="preserve">ai kuriuose apžiūros aktuose </w:t>
            </w:r>
            <w:r w:rsidR="00CE0D43" w:rsidRPr="00CE0D43">
              <w:rPr>
                <w:snapToGrid w:val="0"/>
              </w:rPr>
              <w:t>Vilniaus miesto savivaldybei</w:t>
            </w:r>
            <w:r w:rsidR="00832463">
              <w:rPr>
                <w:snapToGrid w:val="0"/>
              </w:rPr>
              <w:t xml:space="preserve"> (toliau – Savivaldybė)</w:t>
            </w:r>
            <w:r w:rsidR="00CE0D43" w:rsidRPr="00CE0D43">
              <w:rPr>
                <w:snapToGrid w:val="0"/>
              </w:rPr>
              <w:t xml:space="preserve"> nuosavybės teise priklausančių gyvenamųjų patalpų tinkamumo gyventi ir tikslingumo remontuoti vertinimo komisij</w:t>
            </w:r>
            <w:r w:rsidR="004122F4">
              <w:rPr>
                <w:snapToGrid w:val="0"/>
              </w:rPr>
              <w:t>a</w:t>
            </w:r>
            <w:r w:rsidRPr="00A36F24">
              <w:rPr>
                <w:snapToGrid w:val="0"/>
              </w:rPr>
              <w:t xml:space="preserve"> nurodė preliminarius būsto remonto kaštus, o kai kur tokia informacija nėra nurodyta. </w:t>
            </w:r>
            <w:r w:rsidRPr="00A36F24">
              <w:rPr>
                <w:snapToGrid w:val="0"/>
              </w:rPr>
              <w:lastRenderedPageBreak/>
              <w:t xml:space="preserve">Tuose apžiūros aktuose, kuriuose </w:t>
            </w:r>
            <w:r w:rsidR="004122F4">
              <w:rPr>
                <w:snapToGrid w:val="0"/>
              </w:rPr>
              <w:t>minėta k</w:t>
            </w:r>
            <w:r w:rsidRPr="00A36F24">
              <w:rPr>
                <w:snapToGrid w:val="0"/>
              </w:rPr>
              <w:t>omisija vis tik nurodė preliminarius būsto remonto kaštus, nėra nurodyta, kokia tvarka (metodika) jie buvo paskaičiuoti ir kuo remiantis nuspręsta, kad šio objekto remonto kaštai gali būti neproporcingai dideli. Taip pat iš analizuotų dokumentų ne visada aišku su kokiomis galimomis būsto (sklypo) naudojimo kitomis galimybėmis jie buvo lyginti.</w:t>
            </w:r>
          </w:p>
          <w:p w14:paraId="5243AC07" w14:textId="77777777" w:rsidR="00E30F3A" w:rsidRPr="002B3452" w:rsidRDefault="00E30F3A" w:rsidP="00610745">
            <w:pPr>
              <w:widowControl w:val="0"/>
              <w:rPr>
                <w:snapToGrid w:val="0"/>
              </w:rPr>
            </w:pPr>
          </w:p>
        </w:tc>
        <w:tc>
          <w:tcPr>
            <w:tcW w:w="3969" w:type="dxa"/>
          </w:tcPr>
          <w:p w14:paraId="092B769E" w14:textId="36B9555E" w:rsidR="00A27BB1" w:rsidRPr="002B3452" w:rsidRDefault="003F5C41" w:rsidP="00610745">
            <w:pPr>
              <w:widowControl w:val="0"/>
              <w:rPr>
                <w:snapToGrid w:val="0"/>
              </w:rPr>
            </w:pPr>
            <w:r w:rsidRPr="003F5C41">
              <w:rPr>
                <w:snapToGrid w:val="0"/>
              </w:rPr>
              <w:lastRenderedPageBreak/>
              <w:t>Savivaldybei ir SĮ „Vilniaus miesto būstas“ teisiniame reglamentavime nustatyti nekilnojamojo turto pripažinimo ,,tinkamu gyventi“, bet ,,remontuoti netikslingu“ arba ,,netinkamu gyventi“ bet ,,remontuoti netikslingu“ sąvokų apibrėžimą, dokumentų pildymo tvarką ir vertinimo kriterijus. Taip pat nustatyti, kokia tvarka skaičiuojami nekilnojamojo turto tikslingumo arba netikslingumo remontuoti kaštai, šią informaciją aiškiai nurodant apžiūros akte.</w:t>
            </w:r>
          </w:p>
        </w:tc>
        <w:tc>
          <w:tcPr>
            <w:tcW w:w="4111" w:type="dxa"/>
          </w:tcPr>
          <w:p w14:paraId="55D97B5C" w14:textId="004B3905" w:rsidR="00423325" w:rsidRPr="00423325" w:rsidRDefault="00D51569" w:rsidP="00423325">
            <w:pPr>
              <w:widowControl w:val="0"/>
            </w:pPr>
            <w:r>
              <w:rPr>
                <w:snapToGrid w:val="0"/>
              </w:rPr>
              <w:t>Atsižvelgta į gautas pastabas, įgyvendin</w:t>
            </w:r>
            <w:r w:rsidR="008C5035">
              <w:rPr>
                <w:snapToGrid w:val="0"/>
              </w:rPr>
              <w:t xml:space="preserve">imas vykdomas. </w:t>
            </w:r>
            <w:r w:rsidR="00DC42CC" w:rsidRPr="003F5C41">
              <w:rPr>
                <w:snapToGrid w:val="0"/>
              </w:rPr>
              <w:t>SĮ „Vilniaus miesto būstas“</w:t>
            </w:r>
            <w:r w:rsidR="00DC42CC">
              <w:rPr>
                <w:snapToGrid w:val="0"/>
              </w:rPr>
              <w:t xml:space="preserve"> Turto eksploatavimo </w:t>
            </w:r>
            <w:r w:rsidR="00D13FD7">
              <w:rPr>
                <w:snapToGrid w:val="0"/>
              </w:rPr>
              <w:t xml:space="preserve">grupei </w:t>
            </w:r>
            <w:r w:rsidR="00CE55F5" w:rsidRPr="00380A87">
              <w:rPr>
                <w:b/>
                <w:bCs/>
                <w:snapToGrid w:val="0"/>
                <w:u w:val="single"/>
              </w:rPr>
              <w:t xml:space="preserve">iki 2026 m. </w:t>
            </w:r>
            <w:r w:rsidR="00467D61">
              <w:rPr>
                <w:b/>
                <w:bCs/>
                <w:snapToGrid w:val="0"/>
                <w:u w:val="single"/>
              </w:rPr>
              <w:t>kovo</w:t>
            </w:r>
            <w:r w:rsidR="00CE55F5" w:rsidRPr="00380A87">
              <w:rPr>
                <w:b/>
                <w:bCs/>
                <w:snapToGrid w:val="0"/>
                <w:u w:val="single"/>
              </w:rPr>
              <w:t xml:space="preserve"> </w:t>
            </w:r>
            <w:r w:rsidR="009832F7">
              <w:rPr>
                <w:b/>
                <w:bCs/>
                <w:snapToGrid w:val="0"/>
                <w:u w:val="single"/>
              </w:rPr>
              <w:t>2</w:t>
            </w:r>
            <w:r w:rsidR="00CE55F5" w:rsidRPr="00380A87">
              <w:rPr>
                <w:b/>
                <w:bCs/>
                <w:snapToGrid w:val="0"/>
                <w:u w:val="single"/>
              </w:rPr>
              <w:t xml:space="preserve"> d.</w:t>
            </w:r>
            <w:r w:rsidR="00CE55F5">
              <w:rPr>
                <w:snapToGrid w:val="0"/>
              </w:rPr>
              <w:t xml:space="preserve"> </w:t>
            </w:r>
            <w:r w:rsidR="003E2865">
              <w:rPr>
                <w:snapToGrid w:val="0"/>
              </w:rPr>
              <w:t xml:space="preserve">pavesta </w:t>
            </w:r>
            <w:r w:rsidR="00DD6094">
              <w:rPr>
                <w:snapToGrid w:val="0"/>
              </w:rPr>
              <w:t>kreip</w:t>
            </w:r>
            <w:r w:rsidR="00A33D70">
              <w:rPr>
                <w:snapToGrid w:val="0"/>
              </w:rPr>
              <w:t>tis</w:t>
            </w:r>
            <w:r w:rsidR="00DD6094">
              <w:rPr>
                <w:snapToGrid w:val="0"/>
              </w:rPr>
              <w:t xml:space="preserve"> į </w:t>
            </w:r>
            <w:r w:rsidR="00832463">
              <w:rPr>
                <w:snapToGrid w:val="0"/>
              </w:rPr>
              <w:t>S</w:t>
            </w:r>
            <w:r w:rsidR="00DD6094">
              <w:rPr>
                <w:snapToGrid w:val="0"/>
              </w:rPr>
              <w:t xml:space="preserve">avivaldybę </w:t>
            </w:r>
            <w:r w:rsidR="00D13FD7">
              <w:rPr>
                <w:snapToGrid w:val="0"/>
              </w:rPr>
              <w:t>inicijuo</w:t>
            </w:r>
            <w:r w:rsidR="00ED3A4D">
              <w:rPr>
                <w:snapToGrid w:val="0"/>
              </w:rPr>
              <w:t>jant</w:t>
            </w:r>
            <w:r w:rsidR="00C549AC">
              <w:rPr>
                <w:snapToGrid w:val="0"/>
              </w:rPr>
              <w:t xml:space="preserve"> </w:t>
            </w:r>
            <w:r w:rsidR="00AF2A96">
              <w:rPr>
                <w:snapToGrid w:val="0"/>
              </w:rPr>
              <w:t>Savivaldybės administracijos direkt</w:t>
            </w:r>
            <w:r w:rsidR="00E0196D">
              <w:rPr>
                <w:snapToGrid w:val="0"/>
              </w:rPr>
              <w:t>or</w:t>
            </w:r>
            <w:r w:rsidR="00AF2A96">
              <w:rPr>
                <w:snapToGrid w:val="0"/>
              </w:rPr>
              <w:t xml:space="preserve">iaus 2021-09-29  įsakymu Nr. </w:t>
            </w:r>
            <w:r w:rsidR="00AF2A96" w:rsidRPr="00AF2A96">
              <w:rPr>
                <w:snapToGrid w:val="0"/>
                <w:lang w:val="en-GB"/>
              </w:rPr>
              <w:t>30-</w:t>
            </w:r>
            <w:bookmarkStart w:id="0" w:name="dokumentoNr"/>
            <w:bookmarkEnd w:id="0"/>
            <w:r w:rsidR="00AF2A96" w:rsidRPr="00AF2A96">
              <w:rPr>
                <w:snapToGrid w:val="0"/>
                <w:lang w:val="en-GB"/>
              </w:rPr>
              <w:t>2603/21</w:t>
            </w:r>
            <w:r w:rsidR="00AF2A96">
              <w:rPr>
                <w:snapToGrid w:val="0"/>
                <w:lang w:val="en-GB"/>
              </w:rPr>
              <w:t xml:space="preserve"> patvirtintų </w:t>
            </w:r>
            <w:r w:rsidR="00573A0F" w:rsidRPr="00573A0F">
              <w:t>Vilniaus miesto savivaldybei nuosavybės teise priklausančių gyvenamųjų patalpų tinkamumo gyventi ir tikslingumo remontuoti vertinimo komisijų</w:t>
            </w:r>
            <w:r w:rsidR="002B0CE4">
              <w:t xml:space="preserve"> nuostatų </w:t>
            </w:r>
            <w:r w:rsidR="00CE55F5" w:rsidRPr="0075346A">
              <w:rPr>
                <w:snapToGrid w:val="0"/>
              </w:rPr>
              <w:t>pakeitimus,</w:t>
            </w:r>
            <w:r w:rsidR="00FC72A7">
              <w:rPr>
                <w:bCs/>
              </w:rPr>
              <w:t xml:space="preserve"> </w:t>
            </w:r>
            <w:r w:rsidR="009D303D">
              <w:rPr>
                <w:bCs/>
              </w:rPr>
              <w:t xml:space="preserve">kuriuose būtų </w:t>
            </w:r>
            <w:r w:rsidR="00F74BE6">
              <w:rPr>
                <w:snapToGrid w:val="0"/>
              </w:rPr>
              <w:t>įtvirtin</w:t>
            </w:r>
            <w:r w:rsidR="009D303D">
              <w:rPr>
                <w:snapToGrid w:val="0"/>
              </w:rPr>
              <w:t>ti</w:t>
            </w:r>
            <w:r w:rsidR="00FC72A7" w:rsidRPr="003F5C41">
              <w:rPr>
                <w:snapToGrid w:val="0"/>
              </w:rPr>
              <w:t xml:space="preserve"> nekilnojamojo turto pripažinimo ,,tinkamu gyventi“, bet ,,remontuoti netikslingu“ arba ,,netinkamu gyventi“ bet ,,remontuoti netikslingu“ sąvokų apibrėžim</w:t>
            </w:r>
            <w:r w:rsidR="009D303D">
              <w:rPr>
                <w:snapToGrid w:val="0"/>
              </w:rPr>
              <w:t>ai</w:t>
            </w:r>
            <w:r w:rsidR="00FC72A7" w:rsidRPr="003F5C41">
              <w:rPr>
                <w:snapToGrid w:val="0"/>
              </w:rPr>
              <w:t>, dokumentų pildymo tvark</w:t>
            </w:r>
            <w:r w:rsidR="009D303D">
              <w:rPr>
                <w:snapToGrid w:val="0"/>
              </w:rPr>
              <w:t>a</w:t>
            </w:r>
            <w:r w:rsidR="00FC72A7" w:rsidRPr="003F5C41">
              <w:rPr>
                <w:snapToGrid w:val="0"/>
              </w:rPr>
              <w:t xml:space="preserve"> ir vertinimo kriterij</w:t>
            </w:r>
            <w:r w:rsidR="009D303D">
              <w:rPr>
                <w:snapToGrid w:val="0"/>
              </w:rPr>
              <w:t>ai</w:t>
            </w:r>
            <w:r w:rsidR="005B5E74">
              <w:rPr>
                <w:snapToGrid w:val="0"/>
              </w:rPr>
              <w:t xml:space="preserve"> bei</w:t>
            </w:r>
            <w:r w:rsidR="000E7709">
              <w:rPr>
                <w:snapToGrid w:val="0"/>
              </w:rPr>
              <w:t xml:space="preserve"> </w:t>
            </w:r>
            <w:r w:rsidR="000E7709" w:rsidRPr="003F5C41">
              <w:rPr>
                <w:snapToGrid w:val="0"/>
              </w:rPr>
              <w:t>nekilnojamojo turto tikslingumo arba netikslingumo remontuoti kašt</w:t>
            </w:r>
            <w:r w:rsidR="000E7709">
              <w:rPr>
                <w:snapToGrid w:val="0"/>
              </w:rPr>
              <w:t>ų skaičiavimo tvark</w:t>
            </w:r>
            <w:r w:rsidR="009D303D">
              <w:rPr>
                <w:snapToGrid w:val="0"/>
              </w:rPr>
              <w:t>a</w:t>
            </w:r>
            <w:r w:rsidR="005E5402">
              <w:rPr>
                <w:snapToGrid w:val="0"/>
              </w:rPr>
              <w:t>.</w:t>
            </w:r>
            <w:r w:rsidR="00F06749">
              <w:rPr>
                <w:snapToGrid w:val="0"/>
              </w:rPr>
              <w:t xml:space="preserve"> </w:t>
            </w:r>
          </w:p>
          <w:p w14:paraId="12BD02AE" w14:textId="7FD39242" w:rsidR="00A27BB1" w:rsidRDefault="00D13FD7" w:rsidP="00610745">
            <w:pPr>
              <w:widowControl w:val="0"/>
              <w:rPr>
                <w:snapToGrid w:val="0"/>
              </w:rPr>
            </w:pPr>
            <w:r>
              <w:rPr>
                <w:snapToGrid w:val="0"/>
              </w:rPr>
              <w:t xml:space="preserve"> </w:t>
            </w:r>
          </w:p>
          <w:p w14:paraId="7A19DF3E" w14:textId="77777777" w:rsidR="00D473BB" w:rsidRDefault="00D473BB" w:rsidP="00610745">
            <w:pPr>
              <w:widowControl w:val="0"/>
              <w:rPr>
                <w:snapToGrid w:val="0"/>
              </w:rPr>
            </w:pPr>
          </w:p>
          <w:p w14:paraId="6372385B" w14:textId="33C9C811" w:rsidR="00D473BB" w:rsidRPr="002B3452" w:rsidRDefault="00D473BB" w:rsidP="00610745">
            <w:pPr>
              <w:widowControl w:val="0"/>
              <w:rPr>
                <w:snapToGrid w:val="0"/>
              </w:rPr>
            </w:pPr>
          </w:p>
        </w:tc>
        <w:tc>
          <w:tcPr>
            <w:tcW w:w="2090" w:type="dxa"/>
          </w:tcPr>
          <w:p w14:paraId="2FE8D44D" w14:textId="77777777" w:rsidR="00A27BB1" w:rsidRPr="002B3452" w:rsidRDefault="00A27BB1" w:rsidP="00610745">
            <w:pPr>
              <w:widowControl w:val="0"/>
              <w:rPr>
                <w:snapToGrid w:val="0"/>
              </w:rPr>
            </w:pPr>
          </w:p>
        </w:tc>
      </w:tr>
      <w:tr w:rsidR="00A27BB1" w:rsidRPr="002B3452" w14:paraId="58C37F53" w14:textId="77777777" w:rsidTr="00435D5B">
        <w:tc>
          <w:tcPr>
            <w:tcW w:w="14276" w:type="dxa"/>
            <w:gridSpan w:val="4"/>
          </w:tcPr>
          <w:p w14:paraId="6A97B339" w14:textId="77777777" w:rsidR="00A27BB1" w:rsidRPr="008F1D8D" w:rsidRDefault="00A27BB1" w:rsidP="00610745">
            <w:pPr>
              <w:pStyle w:val="ListParagraph"/>
              <w:widowControl w:val="0"/>
              <w:numPr>
                <w:ilvl w:val="0"/>
                <w:numId w:val="1"/>
              </w:numPr>
              <w:jc w:val="center"/>
              <w:rPr>
                <w:i/>
                <w:snapToGrid w:val="0"/>
              </w:rPr>
            </w:pPr>
            <w:r w:rsidRPr="008F1D8D">
              <w:rPr>
                <w:i/>
                <w:snapToGrid w:val="0"/>
              </w:rPr>
              <w:t>Kitos antikorupcinės pastabos</w:t>
            </w:r>
          </w:p>
        </w:tc>
      </w:tr>
      <w:tr w:rsidR="00A27BB1" w:rsidRPr="002B3452" w14:paraId="5BDE54EA" w14:textId="77777777" w:rsidTr="00CC220C">
        <w:tc>
          <w:tcPr>
            <w:tcW w:w="4106" w:type="dxa"/>
          </w:tcPr>
          <w:p w14:paraId="5EF88963" w14:textId="7A4627D3" w:rsidR="00A27BB1" w:rsidRPr="002B3452" w:rsidRDefault="000C5137" w:rsidP="00610745">
            <w:pPr>
              <w:widowControl w:val="0"/>
              <w:rPr>
                <w:snapToGrid w:val="0"/>
              </w:rPr>
            </w:pPr>
            <w:r w:rsidRPr="000C5137">
              <w:rPr>
                <w:snapToGrid w:val="0"/>
              </w:rPr>
              <w:t xml:space="preserve">SĮ „Vilniaus miesto būstas“ direktoriaus 2023 m. rugpjūčio 31 d. įsakymu Nr. 1.23-23 buvo patvirtinta </w:t>
            </w:r>
            <w:r w:rsidR="00405F48" w:rsidRPr="00405F48">
              <w:rPr>
                <w:snapToGrid w:val="0"/>
              </w:rPr>
              <w:t xml:space="preserve">Nuomos teisinių santykių nagrinėjimo komisijos </w:t>
            </w:r>
            <w:r w:rsidRPr="000C5137">
              <w:rPr>
                <w:snapToGrid w:val="0"/>
              </w:rPr>
              <w:t>sudėtis, kurioje pirmininke paskirta SĮ „Vilniaus miesto būstas“ direktorė, o Komisijos nariais – trys pavaldžių padalinių vadovai.</w:t>
            </w:r>
            <w:r>
              <w:rPr>
                <w:snapToGrid w:val="0"/>
              </w:rPr>
              <w:t xml:space="preserve"> </w:t>
            </w:r>
            <w:r w:rsidR="0093671F">
              <w:rPr>
                <w:snapToGrid w:val="0"/>
              </w:rPr>
              <w:t xml:space="preserve">Tokia </w:t>
            </w:r>
            <w:r w:rsidR="00C322D3">
              <w:rPr>
                <w:snapToGrid w:val="0"/>
              </w:rPr>
              <w:t>minėtos</w:t>
            </w:r>
            <w:r w:rsidR="009C518B">
              <w:rPr>
                <w:snapToGrid w:val="0"/>
              </w:rPr>
              <w:t xml:space="preserve"> </w:t>
            </w:r>
            <w:r w:rsidR="00C322D3">
              <w:rPr>
                <w:snapToGrid w:val="0"/>
              </w:rPr>
              <w:t>k</w:t>
            </w:r>
            <w:r w:rsidR="00AF25F6" w:rsidRPr="00AF25F6">
              <w:rPr>
                <w:snapToGrid w:val="0"/>
              </w:rPr>
              <w:t>omisijos sudėtis</w:t>
            </w:r>
            <w:r w:rsidR="0093671F">
              <w:rPr>
                <w:snapToGrid w:val="0"/>
              </w:rPr>
              <w:t xml:space="preserve"> </w:t>
            </w:r>
            <w:r w:rsidR="00AF25F6" w:rsidRPr="00AF25F6">
              <w:rPr>
                <w:snapToGrid w:val="0"/>
              </w:rPr>
              <w:t>kelia objektyvumo ir nepriklausomumo rizikų.</w:t>
            </w:r>
          </w:p>
        </w:tc>
        <w:tc>
          <w:tcPr>
            <w:tcW w:w="3969" w:type="dxa"/>
          </w:tcPr>
          <w:p w14:paraId="7FBB8CED" w14:textId="09AB152F" w:rsidR="00A27BB1" w:rsidRPr="002B3452" w:rsidRDefault="003B68BC" w:rsidP="00610745">
            <w:pPr>
              <w:widowControl w:val="0"/>
              <w:rPr>
                <w:snapToGrid w:val="0"/>
              </w:rPr>
            </w:pPr>
            <w:r w:rsidRPr="00435D5B">
              <w:rPr>
                <w:snapToGrid w:val="0"/>
              </w:rPr>
              <w:t>Savivaldybei ir SĮ „Vilniaus miesto būstas“, siekiant išvengti šališkų sprendimų priėmimo tikimybės, pakeisti komisijų sudėtis, atsisakyti praktikos, kai į komisijas skiriami tiesioginiu pavaldumu susiję darbuotojai, taip pat į komisijos pirmininko poziciją neskirti SĮ „Vilniaus miesto būstas“ direktoriaus, kuris privalo užtikrinti jam pavestų sprendimų priėmimo, veiklos koordinavimo ir pavaldžių darbuotojų veiklos kontrolės funkcijas. Svarstyti galimybę į komisijų veiklą įtraukti nepriklausomus specialistus arba kitus atstovus.</w:t>
            </w:r>
          </w:p>
        </w:tc>
        <w:tc>
          <w:tcPr>
            <w:tcW w:w="4111" w:type="dxa"/>
          </w:tcPr>
          <w:p w14:paraId="501AF4D3" w14:textId="36921E8B" w:rsidR="00875010" w:rsidRDefault="004C5F97" w:rsidP="00610745">
            <w:pPr>
              <w:widowControl w:val="0"/>
              <w:rPr>
                <w:snapToGrid w:val="0"/>
              </w:rPr>
            </w:pPr>
            <w:r>
              <w:rPr>
                <w:snapToGrid w:val="0"/>
              </w:rPr>
              <w:t>Atsižvelgta</w:t>
            </w:r>
            <w:r w:rsidR="00D51569">
              <w:rPr>
                <w:snapToGrid w:val="0"/>
              </w:rPr>
              <w:t xml:space="preserve"> į gautas pastabas, į</w:t>
            </w:r>
            <w:r w:rsidR="003B68BC">
              <w:rPr>
                <w:snapToGrid w:val="0"/>
              </w:rPr>
              <w:t>gyvendin</w:t>
            </w:r>
            <w:r w:rsidR="008C5035">
              <w:rPr>
                <w:snapToGrid w:val="0"/>
              </w:rPr>
              <w:t>imas baigtas</w:t>
            </w:r>
            <w:r w:rsidR="003B68BC" w:rsidRPr="00C70B96">
              <w:rPr>
                <w:snapToGrid w:val="0"/>
              </w:rPr>
              <w:t xml:space="preserve">. </w:t>
            </w:r>
            <w:r w:rsidR="0032704A" w:rsidRPr="00C70B96">
              <w:rPr>
                <w:snapToGrid w:val="0"/>
              </w:rPr>
              <w:t>SĮ „Vilniaus miesto būstas“</w:t>
            </w:r>
            <w:r w:rsidR="004A798E" w:rsidRPr="00C70B96">
              <w:rPr>
                <w:snapToGrid w:val="0"/>
              </w:rPr>
              <w:t xml:space="preserve"> (toliau – </w:t>
            </w:r>
            <w:r w:rsidR="006134DA">
              <w:rPr>
                <w:snapToGrid w:val="0"/>
              </w:rPr>
              <w:t xml:space="preserve">ir </w:t>
            </w:r>
            <w:r w:rsidR="004A798E" w:rsidRPr="00C70B96">
              <w:rPr>
                <w:snapToGrid w:val="0"/>
              </w:rPr>
              <w:t>Įmonė)</w:t>
            </w:r>
            <w:r w:rsidR="0032704A" w:rsidRPr="00C70B96">
              <w:rPr>
                <w:snapToGrid w:val="0"/>
              </w:rPr>
              <w:t xml:space="preserve"> </w:t>
            </w:r>
            <w:r w:rsidR="00C75ED0" w:rsidRPr="00C70B96">
              <w:rPr>
                <w:snapToGrid w:val="0"/>
              </w:rPr>
              <w:t xml:space="preserve">direktorius </w:t>
            </w:r>
            <w:r w:rsidR="00A93DD7" w:rsidRPr="00C70B96">
              <w:rPr>
                <w:snapToGrid w:val="0"/>
              </w:rPr>
              <w:t xml:space="preserve">į </w:t>
            </w:r>
            <w:r w:rsidR="0032704A" w:rsidRPr="00C70B96">
              <w:rPr>
                <w:snapToGrid w:val="0"/>
              </w:rPr>
              <w:t>komisijų</w:t>
            </w:r>
            <w:r w:rsidR="001A30A2" w:rsidRPr="00C70B96">
              <w:rPr>
                <w:snapToGrid w:val="0"/>
              </w:rPr>
              <w:t>, sudarytų Įmonėje</w:t>
            </w:r>
            <w:r w:rsidR="004A798E" w:rsidRPr="00C70B96">
              <w:rPr>
                <w:snapToGrid w:val="0"/>
              </w:rPr>
              <w:t>,</w:t>
            </w:r>
            <w:r w:rsidR="0032704A" w:rsidRPr="00C70B96">
              <w:rPr>
                <w:snapToGrid w:val="0"/>
              </w:rPr>
              <w:t xml:space="preserve"> sudėt</w:t>
            </w:r>
            <w:r w:rsidR="00A93DD7" w:rsidRPr="00C70B96">
              <w:rPr>
                <w:snapToGrid w:val="0"/>
              </w:rPr>
              <w:t>į</w:t>
            </w:r>
            <w:r w:rsidR="007C1D45" w:rsidRPr="00C70B96">
              <w:rPr>
                <w:snapToGrid w:val="0"/>
              </w:rPr>
              <w:t xml:space="preserve"> neįtrauktas</w:t>
            </w:r>
            <w:r w:rsidR="00B30958" w:rsidRPr="00C70B96">
              <w:rPr>
                <w:snapToGrid w:val="0"/>
              </w:rPr>
              <w:t>.</w:t>
            </w:r>
            <w:r w:rsidR="00B30958">
              <w:rPr>
                <w:snapToGrid w:val="0"/>
              </w:rPr>
              <w:t xml:space="preserve"> </w:t>
            </w:r>
            <w:r w:rsidR="006F0369">
              <w:rPr>
                <w:snapToGrid w:val="0"/>
              </w:rPr>
              <w:t>Įmonės direktoriaus 2025</w:t>
            </w:r>
            <w:r w:rsidR="00F633EE">
              <w:rPr>
                <w:snapToGrid w:val="0"/>
              </w:rPr>
              <w:t xml:space="preserve"> m. birželio 3 d.</w:t>
            </w:r>
            <w:r w:rsidR="006F0369">
              <w:rPr>
                <w:snapToGrid w:val="0"/>
              </w:rPr>
              <w:t xml:space="preserve"> įsakymu </w:t>
            </w:r>
            <w:r w:rsidR="006F0369" w:rsidRPr="006F0369">
              <w:rPr>
                <w:snapToGrid w:val="0"/>
              </w:rPr>
              <w:t>Nr. 1.23-25/58</w:t>
            </w:r>
            <w:r w:rsidR="00BF5C46">
              <w:rPr>
                <w:snapToGrid w:val="0"/>
              </w:rPr>
              <w:t xml:space="preserve"> „</w:t>
            </w:r>
            <w:r w:rsidR="00BF5C46" w:rsidRPr="00BF5C46">
              <w:rPr>
                <w:snapToGrid w:val="0"/>
              </w:rPr>
              <w:t xml:space="preserve">Dėl </w:t>
            </w:r>
            <w:r w:rsidR="00BF5C46">
              <w:rPr>
                <w:snapToGrid w:val="0"/>
              </w:rPr>
              <w:t>SĮ</w:t>
            </w:r>
            <w:r w:rsidR="00BF5C46" w:rsidRPr="00BF5C46">
              <w:rPr>
                <w:snapToGrid w:val="0"/>
              </w:rPr>
              <w:t xml:space="preserve"> „Vilniaus miesto būstas“ nuomos teisinių santykių nagrinėjimo komisijos nuostatų</w:t>
            </w:r>
            <w:r w:rsidR="006F0369" w:rsidRPr="006F0369">
              <w:rPr>
                <w:snapToGrid w:val="0"/>
              </w:rPr>
              <w:t xml:space="preserve"> </w:t>
            </w:r>
            <w:r w:rsidR="00BF5C46">
              <w:rPr>
                <w:snapToGrid w:val="0"/>
              </w:rPr>
              <w:t>pakeitimo“</w:t>
            </w:r>
            <w:r w:rsidR="006134DA">
              <w:rPr>
                <w:snapToGrid w:val="0"/>
              </w:rPr>
              <w:t xml:space="preserve"> p</w:t>
            </w:r>
            <w:r w:rsidR="00076F1E">
              <w:rPr>
                <w:snapToGrid w:val="0"/>
              </w:rPr>
              <w:t>atvirtinta nauja minėtos komisijos sudėtis, į kurią Įmonės direktorius nėra įtrauktas. Taip pat</w:t>
            </w:r>
            <w:r w:rsidR="00550904">
              <w:rPr>
                <w:snapToGrid w:val="0"/>
              </w:rPr>
              <w:t xml:space="preserve"> įtvirtinta, kad</w:t>
            </w:r>
            <w:r w:rsidR="00BF5C46">
              <w:rPr>
                <w:snapToGrid w:val="0"/>
              </w:rPr>
              <w:t xml:space="preserve"> </w:t>
            </w:r>
            <w:r w:rsidR="00B30958" w:rsidRPr="00435D5B">
              <w:rPr>
                <w:snapToGrid w:val="0"/>
              </w:rPr>
              <w:t xml:space="preserve">į </w:t>
            </w:r>
            <w:r w:rsidR="00076F1E">
              <w:rPr>
                <w:snapToGrid w:val="0"/>
              </w:rPr>
              <w:t>Įmonės</w:t>
            </w:r>
            <w:r w:rsidR="00796676" w:rsidRPr="00BF5C46">
              <w:rPr>
                <w:snapToGrid w:val="0"/>
              </w:rPr>
              <w:t xml:space="preserve"> nuomos teisinių santykių nagrinėjimo komisij</w:t>
            </w:r>
            <w:r w:rsidR="00DC230D">
              <w:rPr>
                <w:snapToGrid w:val="0"/>
              </w:rPr>
              <w:t>ą</w:t>
            </w:r>
            <w:r w:rsidR="007571E6">
              <w:rPr>
                <w:snapToGrid w:val="0"/>
              </w:rPr>
              <w:t xml:space="preserve"> </w:t>
            </w:r>
            <w:r w:rsidR="00875010" w:rsidRPr="00875010">
              <w:rPr>
                <w:snapToGrid w:val="0"/>
              </w:rPr>
              <w:t xml:space="preserve">gali </w:t>
            </w:r>
            <w:r w:rsidR="00A4604C">
              <w:rPr>
                <w:snapToGrid w:val="0"/>
              </w:rPr>
              <w:t xml:space="preserve">būti </w:t>
            </w:r>
            <w:r w:rsidR="00875010" w:rsidRPr="00875010">
              <w:rPr>
                <w:snapToGrid w:val="0"/>
              </w:rPr>
              <w:t>kvie</w:t>
            </w:r>
            <w:r w:rsidR="00A4604C">
              <w:rPr>
                <w:snapToGrid w:val="0"/>
              </w:rPr>
              <w:t>čiamas</w:t>
            </w:r>
            <w:r w:rsidR="00875010" w:rsidRPr="00875010">
              <w:rPr>
                <w:snapToGrid w:val="0"/>
              </w:rPr>
              <w:t xml:space="preserve"> posėdžiuose dalyvauti įgaliot</w:t>
            </w:r>
            <w:r w:rsidR="00A4604C">
              <w:rPr>
                <w:snapToGrid w:val="0"/>
              </w:rPr>
              <w:t>as</w:t>
            </w:r>
            <w:r w:rsidR="00875010" w:rsidRPr="00875010">
              <w:rPr>
                <w:snapToGrid w:val="0"/>
              </w:rPr>
              <w:t xml:space="preserve"> savininko atstov</w:t>
            </w:r>
            <w:r w:rsidR="00A4604C">
              <w:rPr>
                <w:snapToGrid w:val="0"/>
              </w:rPr>
              <w:t>as</w:t>
            </w:r>
            <w:r w:rsidR="00875010" w:rsidRPr="00875010">
              <w:rPr>
                <w:snapToGrid w:val="0"/>
              </w:rPr>
              <w:t>, turint</w:t>
            </w:r>
            <w:r w:rsidR="00594339">
              <w:rPr>
                <w:snapToGrid w:val="0"/>
              </w:rPr>
              <w:t>is</w:t>
            </w:r>
            <w:r w:rsidR="00875010" w:rsidRPr="00875010">
              <w:rPr>
                <w:snapToGrid w:val="0"/>
              </w:rPr>
              <w:t xml:space="preserve"> teisę pateikti nuomonę, į kurią </w:t>
            </w:r>
            <w:r w:rsidR="00816730">
              <w:rPr>
                <w:snapToGrid w:val="0"/>
              </w:rPr>
              <w:t>minėta k</w:t>
            </w:r>
            <w:r w:rsidR="00875010" w:rsidRPr="00875010">
              <w:rPr>
                <w:snapToGrid w:val="0"/>
              </w:rPr>
              <w:t xml:space="preserve">omisija privalo atsižvelgti arba pagrįstai paaiškinti, kodėl nebuvo atsižvelgta. </w:t>
            </w:r>
          </w:p>
          <w:p w14:paraId="1E1D7092" w14:textId="3ED4A4D3" w:rsidR="00B260C7" w:rsidRDefault="00465D9F" w:rsidP="00610745">
            <w:pPr>
              <w:widowControl w:val="0"/>
              <w:rPr>
                <w:snapToGrid w:val="0"/>
              </w:rPr>
            </w:pPr>
            <w:r>
              <w:rPr>
                <w:snapToGrid w:val="0"/>
              </w:rPr>
              <w:t xml:space="preserve">Įmonės direktoriaus </w:t>
            </w:r>
            <w:r w:rsidR="00F633EE">
              <w:rPr>
                <w:snapToGrid w:val="0"/>
              </w:rPr>
              <w:t xml:space="preserve">2025 m. birželio 3 </w:t>
            </w:r>
            <w:r w:rsidR="00F633EE">
              <w:rPr>
                <w:snapToGrid w:val="0"/>
              </w:rPr>
              <w:lastRenderedPageBreak/>
              <w:t>d.</w:t>
            </w:r>
            <w:r w:rsidR="00B260C7" w:rsidRPr="00B260C7">
              <w:rPr>
                <w:snapToGrid w:val="0"/>
              </w:rPr>
              <w:t xml:space="preserve"> </w:t>
            </w:r>
            <w:r>
              <w:rPr>
                <w:snapToGrid w:val="0"/>
              </w:rPr>
              <w:t xml:space="preserve">įsakymu </w:t>
            </w:r>
            <w:r w:rsidR="00B260C7" w:rsidRPr="00B260C7">
              <w:rPr>
                <w:snapToGrid w:val="0"/>
              </w:rPr>
              <w:t>Nr. 1.23-25/57</w:t>
            </w:r>
            <w:r w:rsidR="00CF00AC">
              <w:rPr>
                <w:snapToGrid w:val="0"/>
              </w:rPr>
              <w:t xml:space="preserve"> „Dėl Savivaldybės įmonės</w:t>
            </w:r>
            <w:r w:rsidR="00C76869">
              <w:rPr>
                <w:snapToGrid w:val="0"/>
              </w:rPr>
              <w:t xml:space="preserve"> „Vilniaus miesto būstas“</w:t>
            </w:r>
            <w:r w:rsidR="00CF00AC">
              <w:rPr>
                <w:snapToGrid w:val="0"/>
              </w:rPr>
              <w:t xml:space="preserve"> direktoriaus</w:t>
            </w:r>
            <w:r w:rsidR="00C76869">
              <w:rPr>
                <w:snapToGrid w:val="0"/>
              </w:rPr>
              <w:t xml:space="preserve"> 2021 m. rugsėjo 20 d. </w:t>
            </w:r>
            <w:r w:rsidR="00AB1411">
              <w:rPr>
                <w:snapToGrid w:val="0"/>
              </w:rPr>
              <w:t xml:space="preserve">įsakymo Nr. </w:t>
            </w:r>
            <w:r w:rsidR="00AB1411" w:rsidRPr="00AB1411">
              <w:rPr>
                <w:snapToGrid w:val="0"/>
              </w:rPr>
              <w:t>1.23-21/76 „</w:t>
            </w:r>
            <w:r w:rsidR="00AB1411">
              <w:rPr>
                <w:snapToGrid w:val="0"/>
              </w:rPr>
              <w:t>D</w:t>
            </w:r>
            <w:r w:rsidR="00AB1411" w:rsidRPr="00AB1411">
              <w:rPr>
                <w:snapToGrid w:val="0"/>
              </w:rPr>
              <w:t>ėl patalpų remonto darbų komisijos sudarymo“ pakeitimo</w:t>
            </w:r>
            <w:r w:rsidR="00CF00AC">
              <w:rPr>
                <w:snapToGrid w:val="0"/>
              </w:rPr>
              <w:t>“</w:t>
            </w:r>
            <w:r w:rsidR="0042521A">
              <w:rPr>
                <w:snapToGrid w:val="0"/>
              </w:rPr>
              <w:t xml:space="preserve"> </w:t>
            </w:r>
            <w:r w:rsidR="00BA3DBB">
              <w:rPr>
                <w:snapToGrid w:val="0"/>
              </w:rPr>
              <w:t xml:space="preserve">patvirtinta nauja </w:t>
            </w:r>
            <w:r w:rsidR="008244EB">
              <w:rPr>
                <w:snapToGrid w:val="0"/>
              </w:rPr>
              <w:t>Įmonės</w:t>
            </w:r>
            <w:r w:rsidR="00BA3DBB" w:rsidRPr="00BA3DBB">
              <w:rPr>
                <w:snapToGrid w:val="0"/>
              </w:rPr>
              <w:t xml:space="preserve"> komisij</w:t>
            </w:r>
            <w:r w:rsidR="00723825">
              <w:rPr>
                <w:snapToGrid w:val="0"/>
              </w:rPr>
              <w:t>os</w:t>
            </w:r>
            <w:r w:rsidR="00BA3DBB" w:rsidRPr="00BA3DBB">
              <w:rPr>
                <w:snapToGrid w:val="0"/>
              </w:rPr>
              <w:t xml:space="preserve"> dėl gyvenamųjų patalpų remonto darbų</w:t>
            </w:r>
            <w:r w:rsidR="00BA3DBB">
              <w:rPr>
                <w:snapToGrid w:val="0"/>
              </w:rPr>
              <w:t xml:space="preserve"> sudėtis</w:t>
            </w:r>
            <w:r w:rsidR="00723825">
              <w:rPr>
                <w:snapToGrid w:val="0"/>
              </w:rPr>
              <w:t xml:space="preserve">, </w:t>
            </w:r>
            <w:r w:rsidR="00C560FB">
              <w:rPr>
                <w:snapToGrid w:val="0"/>
              </w:rPr>
              <w:t xml:space="preserve">į </w:t>
            </w:r>
            <w:r w:rsidR="00723825">
              <w:rPr>
                <w:snapToGrid w:val="0"/>
              </w:rPr>
              <w:t>kuri</w:t>
            </w:r>
            <w:r w:rsidR="00C560FB">
              <w:rPr>
                <w:snapToGrid w:val="0"/>
              </w:rPr>
              <w:t>ą</w:t>
            </w:r>
            <w:r w:rsidR="00723825">
              <w:rPr>
                <w:snapToGrid w:val="0"/>
              </w:rPr>
              <w:t xml:space="preserve"> Įmonės direktorius</w:t>
            </w:r>
            <w:r w:rsidR="00C560FB">
              <w:rPr>
                <w:snapToGrid w:val="0"/>
              </w:rPr>
              <w:t xml:space="preserve"> nėra </w:t>
            </w:r>
            <w:r w:rsidR="00723825">
              <w:rPr>
                <w:snapToGrid w:val="0"/>
              </w:rPr>
              <w:t>įtrauktas</w:t>
            </w:r>
            <w:r w:rsidR="00AB1411">
              <w:rPr>
                <w:snapToGrid w:val="0"/>
              </w:rPr>
              <w:t>.</w:t>
            </w:r>
          </w:p>
          <w:p w14:paraId="591A6ADD" w14:textId="4ACDC803" w:rsidR="00C70B96" w:rsidRPr="002B3452" w:rsidRDefault="007E6971" w:rsidP="00610745">
            <w:pPr>
              <w:widowControl w:val="0"/>
              <w:rPr>
                <w:snapToGrid w:val="0"/>
              </w:rPr>
            </w:pPr>
            <w:r>
              <w:rPr>
                <w:snapToGrid w:val="0"/>
              </w:rPr>
              <w:t>Įmonės direktoriaus</w:t>
            </w:r>
            <w:r w:rsidRPr="007E6971">
              <w:rPr>
                <w:snapToGrid w:val="0"/>
              </w:rPr>
              <w:t xml:space="preserve"> </w:t>
            </w:r>
            <w:r w:rsidR="00F633EE">
              <w:rPr>
                <w:snapToGrid w:val="0"/>
              </w:rPr>
              <w:t xml:space="preserve">2025 m. birželio 5 d. </w:t>
            </w:r>
            <w:r>
              <w:rPr>
                <w:snapToGrid w:val="0"/>
              </w:rPr>
              <w:t xml:space="preserve">įsakymu </w:t>
            </w:r>
            <w:r w:rsidRPr="007E6971">
              <w:rPr>
                <w:snapToGrid w:val="0"/>
              </w:rPr>
              <w:t>Nr. 1.23-25/60</w:t>
            </w:r>
            <w:r w:rsidR="00FF3D0A">
              <w:rPr>
                <w:snapToGrid w:val="0"/>
              </w:rPr>
              <w:t xml:space="preserve"> „D</w:t>
            </w:r>
            <w:r w:rsidR="00FF3D0A" w:rsidRPr="00FF3D0A">
              <w:rPr>
                <w:snapToGrid w:val="0"/>
              </w:rPr>
              <w:t xml:space="preserve">ėl </w:t>
            </w:r>
            <w:r w:rsidR="00FF3D0A">
              <w:rPr>
                <w:snapToGrid w:val="0"/>
              </w:rPr>
              <w:t>S</w:t>
            </w:r>
            <w:r w:rsidR="00FF3D0A" w:rsidRPr="00FF3D0A">
              <w:rPr>
                <w:snapToGrid w:val="0"/>
              </w:rPr>
              <w:t>avivaldybės įmonės „</w:t>
            </w:r>
            <w:r w:rsidR="00FF3D0A">
              <w:rPr>
                <w:snapToGrid w:val="0"/>
              </w:rPr>
              <w:t>V</w:t>
            </w:r>
            <w:r w:rsidR="00FF3D0A" w:rsidRPr="00FF3D0A">
              <w:rPr>
                <w:snapToGrid w:val="0"/>
              </w:rPr>
              <w:t>ilniaus miesto būstas“ viešųjų pirkimų komisijos sudarymo</w:t>
            </w:r>
            <w:r w:rsidR="00FF3D0A">
              <w:rPr>
                <w:snapToGrid w:val="0"/>
              </w:rPr>
              <w:t>“ patvirtinta nauja</w:t>
            </w:r>
            <w:r w:rsidR="00A21C51">
              <w:rPr>
                <w:snapToGrid w:val="0"/>
              </w:rPr>
              <w:t xml:space="preserve"> Įmonės </w:t>
            </w:r>
            <w:r w:rsidR="00A21C51" w:rsidRPr="00FF3D0A">
              <w:rPr>
                <w:snapToGrid w:val="0"/>
              </w:rPr>
              <w:t>viešųjų pirkimų komisijos</w:t>
            </w:r>
            <w:r w:rsidR="00FF3D0A">
              <w:rPr>
                <w:snapToGrid w:val="0"/>
              </w:rPr>
              <w:t xml:space="preserve"> sudėtis</w:t>
            </w:r>
            <w:r w:rsidR="00B72463">
              <w:rPr>
                <w:snapToGrid w:val="0"/>
              </w:rPr>
              <w:t xml:space="preserve">, į kurią Įmonės direktorius </w:t>
            </w:r>
            <w:r w:rsidR="00594339">
              <w:rPr>
                <w:snapToGrid w:val="0"/>
              </w:rPr>
              <w:t xml:space="preserve">taip pat </w:t>
            </w:r>
            <w:r w:rsidR="00B72463">
              <w:rPr>
                <w:snapToGrid w:val="0"/>
              </w:rPr>
              <w:t>nėra įtrauktas.</w:t>
            </w:r>
          </w:p>
        </w:tc>
        <w:tc>
          <w:tcPr>
            <w:tcW w:w="2090" w:type="dxa"/>
          </w:tcPr>
          <w:p w14:paraId="65828968" w14:textId="77777777" w:rsidR="00A27BB1" w:rsidRPr="002B3452" w:rsidRDefault="00A27BB1" w:rsidP="00610745">
            <w:pPr>
              <w:widowControl w:val="0"/>
              <w:rPr>
                <w:snapToGrid w:val="0"/>
              </w:rPr>
            </w:pPr>
          </w:p>
        </w:tc>
      </w:tr>
      <w:tr w:rsidR="00A27BB1" w:rsidRPr="002B3452" w14:paraId="1FF414E2" w14:textId="77777777" w:rsidTr="00CC220C">
        <w:tc>
          <w:tcPr>
            <w:tcW w:w="4106" w:type="dxa"/>
          </w:tcPr>
          <w:p w14:paraId="7B6C71B1" w14:textId="77777777" w:rsidR="00A27BB1" w:rsidRPr="002B3452" w:rsidRDefault="00A27BB1" w:rsidP="00610745">
            <w:pPr>
              <w:widowControl w:val="0"/>
              <w:rPr>
                <w:snapToGrid w:val="0"/>
              </w:rPr>
            </w:pPr>
          </w:p>
        </w:tc>
        <w:tc>
          <w:tcPr>
            <w:tcW w:w="3969" w:type="dxa"/>
          </w:tcPr>
          <w:p w14:paraId="0A528798" w14:textId="77777777" w:rsidR="00A27BB1" w:rsidRPr="002B3452" w:rsidRDefault="00A27BB1" w:rsidP="00610745">
            <w:pPr>
              <w:widowControl w:val="0"/>
              <w:rPr>
                <w:snapToGrid w:val="0"/>
              </w:rPr>
            </w:pPr>
          </w:p>
        </w:tc>
        <w:tc>
          <w:tcPr>
            <w:tcW w:w="4111" w:type="dxa"/>
          </w:tcPr>
          <w:p w14:paraId="1B28821A" w14:textId="77777777" w:rsidR="00A27BB1" w:rsidRPr="002B3452" w:rsidRDefault="00A27BB1" w:rsidP="00610745">
            <w:pPr>
              <w:widowControl w:val="0"/>
              <w:rPr>
                <w:snapToGrid w:val="0"/>
              </w:rPr>
            </w:pPr>
          </w:p>
        </w:tc>
        <w:tc>
          <w:tcPr>
            <w:tcW w:w="2090" w:type="dxa"/>
          </w:tcPr>
          <w:p w14:paraId="7C13D58A" w14:textId="77777777" w:rsidR="00A27BB1" w:rsidRPr="002B3452" w:rsidRDefault="00A27BB1" w:rsidP="00610745">
            <w:pPr>
              <w:widowControl w:val="0"/>
              <w:rPr>
                <w:snapToGrid w:val="0"/>
              </w:rPr>
            </w:pPr>
          </w:p>
        </w:tc>
      </w:tr>
      <w:tr w:rsidR="00A27BB1" w:rsidRPr="002B3452" w14:paraId="685095CB" w14:textId="77777777" w:rsidTr="00435D5B">
        <w:tc>
          <w:tcPr>
            <w:tcW w:w="14276" w:type="dxa"/>
            <w:gridSpan w:val="4"/>
          </w:tcPr>
          <w:p w14:paraId="7332360D" w14:textId="77777777" w:rsidR="00A27BB1" w:rsidRPr="008F1D8D" w:rsidRDefault="00A27BB1" w:rsidP="00610745">
            <w:pPr>
              <w:pStyle w:val="ListParagraph"/>
              <w:widowControl w:val="0"/>
              <w:numPr>
                <w:ilvl w:val="0"/>
                <w:numId w:val="1"/>
              </w:numPr>
              <w:jc w:val="center"/>
              <w:rPr>
                <w:i/>
                <w:snapToGrid w:val="0"/>
              </w:rPr>
            </w:pPr>
            <w:r w:rsidRPr="008F1D8D">
              <w:rPr>
                <w:i/>
                <w:snapToGrid w:val="0"/>
              </w:rPr>
              <w:t>Kitos pastabos</w:t>
            </w:r>
          </w:p>
        </w:tc>
      </w:tr>
      <w:tr w:rsidR="00A27BB1" w:rsidRPr="002B3452" w14:paraId="06FCDCFD" w14:textId="77777777" w:rsidTr="00CC220C">
        <w:tc>
          <w:tcPr>
            <w:tcW w:w="4106" w:type="dxa"/>
          </w:tcPr>
          <w:p w14:paraId="768F7D5C" w14:textId="3AF882E6" w:rsidR="00A27BB1" w:rsidRPr="002B3452" w:rsidRDefault="004A54B1" w:rsidP="00610745">
            <w:pPr>
              <w:widowControl w:val="0"/>
              <w:rPr>
                <w:snapToGrid w:val="0"/>
              </w:rPr>
            </w:pPr>
            <w:r>
              <w:rPr>
                <w:snapToGrid w:val="0"/>
              </w:rPr>
              <w:t>Nėra.</w:t>
            </w:r>
          </w:p>
        </w:tc>
        <w:tc>
          <w:tcPr>
            <w:tcW w:w="3969" w:type="dxa"/>
          </w:tcPr>
          <w:p w14:paraId="79C932D9" w14:textId="77777777" w:rsidR="00A27BB1" w:rsidRPr="002B3452" w:rsidRDefault="00A27BB1" w:rsidP="00610745">
            <w:pPr>
              <w:widowControl w:val="0"/>
              <w:rPr>
                <w:snapToGrid w:val="0"/>
              </w:rPr>
            </w:pPr>
          </w:p>
        </w:tc>
        <w:tc>
          <w:tcPr>
            <w:tcW w:w="4111" w:type="dxa"/>
          </w:tcPr>
          <w:p w14:paraId="36B0958F" w14:textId="77777777" w:rsidR="00A27BB1" w:rsidRPr="002B3452" w:rsidRDefault="00A27BB1" w:rsidP="00610745">
            <w:pPr>
              <w:widowControl w:val="0"/>
              <w:rPr>
                <w:snapToGrid w:val="0"/>
              </w:rPr>
            </w:pPr>
          </w:p>
        </w:tc>
        <w:tc>
          <w:tcPr>
            <w:tcW w:w="2090" w:type="dxa"/>
          </w:tcPr>
          <w:p w14:paraId="2F6669FD" w14:textId="77777777" w:rsidR="00A27BB1" w:rsidRPr="002B3452" w:rsidRDefault="00A27BB1" w:rsidP="00610745">
            <w:pPr>
              <w:widowControl w:val="0"/>
              <w:rPr>
                <w:snapToGrid w:val="0"/>
              </w:rPr>
            </w:pPr>
          </w:p>
        </w:tc>
      </w:tr>
    </w:tbl>
    <w:p w14:paraId="22C6DB33" w14:textId="77777777" w:rsidR="00A27BB1" w:rsidRDefault="00A27BB1" w:rsidP="00A27BB1">
      <w:pPr>
        <w:spacing w:line="360" w:lineRule="auto"/>
        <w:ind w:firstLine="851"/>
        <w:jc w:val="center"/>
        <w:rPr>
          <w:lang w:eastAsia="en-US"/>
        </w:rPr>
      </w:pPr>
    </w:p>
    <w:p w14:paraId="41D3ED99" w14:textId="77777777" w:rsidR="00A27BB1" w:rsidRDefault="00A27BB1" w:rsidP="00A27BB1">
      <w:pPr>
        <w:jc w:val="center"/>
      </w:pPr>
      <w:r>
        <w:t>____________</w:t>
      </w:r>
    </w:p>
    <w:p w14:paraId="0D67D219" w14:textId="77777777" w:rsidR="00E44173" w:rsidRDefault="00E44173"/>
    <w:sectPr w:rsidR="00E44173"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90A5" w14:textId="77777777" w:rsidR="009A5FAC" w:rsidRDefault="009A5FAC" w:rsidP="00A27BB1">
      <w:r>
        <w:separator/>
      </w:r>
    </w:p>
  </w:endnote>
  <w:endnote w:type="continuationSeparator" w:id="0">
    <w:p w14:paraId="6CC12AC5" w14:textId="77777777" w:rsidR="009A5FAC" w:rsidRDefault="009A5FAC" w:rsidP="00A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CE9A" w14:textId="77777777" w:rsidR="009A5FAC" w:rsidRDefault="009A5FAC" w:rsidP="00A27BB1">
      <w:r>
        <w:separator/>
      </w:r>
    </w:p>
  </w:footnote>
  <w:footnote w:type="continuationSeparator" w:id="0">
    <w:p w14:paraId="70F1D822" w14:textId="77777777" w:rsidR="009A5FAC" w:rsidRDefault="009A5FAC" w:rsidP="00A27BB1">
      <w:r>
        <w:continuationSeparator/>
      </w:r>
    </w:p>
  </w:footnote>
  <w:footnote w:id="1">
    <w:p w14:paraId="7A4ED7A7" w14:textId="77777777" w:rsidR="00A27BB1" w:rsidRPr="0013385B" w:rsidRDefault="00A27BB1" w:rsidP="00A27BB1">
      <w:pPr>
        <w:pStyle w:val="FootnoteText"/>
        <w:jc w:val="both"/>
        <w:rPr>
          <w:rFonts w:ascii="Times New Roman" w:hAnsi="Times New Roman"/>
        </w:rPr>
      </w:pPr>
      <w:r w:rsidRPr="00770A2D">
        <w:rPr>
          <w:rStyle w:val="FootnoteReference"/>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mų vykdymą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219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B1"/>
    <w:rsid w:val="00071553"/>
    <w:rsid w:val="00076F1E"/>
    <w:rsid w:val="000910A7"/>
    <w:rsid w:val="000928F2"/>
    <w:rsid w:val="000C5137"/>
    <w:rsid w:val="000C5181"/>
    <w:rsid w:val="000E7709"/>
    <w:rsid w:val="0012578C"/>
    <w:rsid w:val="00127759"/>
    <w:rsid w:val="0014457A"/>
    <w:rsid w:val="0014585F"/>
    <w:rsid w:val="001A30A2"/>
    <w:rsid w:val="001A4A39"/>
    <w:rsid w:val="001B1833"/>
    <w:rsid w:val="00281C73"/>
    <w:rsid w:val="002B0CE4"/>
    <w:rsid w:val="0032704A"/>
    <w:rsid w:val="00334484"/>
    <w:rsid w:val="00347FAF"/>
    <w:rsid w:val="00380A87"/>
    <w:rsid w:val="003959A4"/>
    <w:rsid w:val="003A2EA4"/>
    <w:rsid w:val="003B68BC"/>
    <w:rsid w:val="003D0BC2"/>
    <w:rsid w:val="003E2865"/>
    <w:rsid w:val="003F5C41"/>
    <w:rsid w:val="00405F48"/>
    <w:rsid w:val="0040618C"/>
    <w:rsid w:val="004122F4"/>
    <w:rsid w:val="00423325"/>
    <w:rsid w:val="0042521A"/>
    <w:rsid w:val="00435D5B"/>
    <w:rsid w:val="00465D9F"/>
    <w:rsid w:val="00467D61"/>
    <w:rsid w:val="004A54B1"/>
    <w:rsid w:val="004A798E"/>
    <w:rsid w:val="004C5F97"/>
    <w:rsid w:val="004E176F"/>
    <w:rsid w:val="00503C44"/>
    <w:rsid w:val="00550904"/>
    <w:rsid w:val="0055427A"/>
    <w:rsid w:val="00573A0F"/>
    <w:rsid w:val="00594339"/>
    <w:rsid w:val="005B5E74"/>
    <w:rsid w:val="005E5402"/>
    <w:rsid w:val="006134DA"/>
    <w:rsid w:val="006437C1"/>
    <w:rsid w:val="00686FD1"/>
    <w:rsid w:val="006F0369"/>
    <w:rsid w:val="00723825"/>
    <w:rsid w:val="0075346A"/>
    <w:rsid w:val="007571E6"/>
    <w:rsid w:val="00765DD6"/>
    <w:rsid w:val="007714C7"/>
    <w:rsid w:val="00774E05"/>
    <w:rsid w:val="00796676"/>
    <w:rsid w:val="007A64BC"/>
    <w:rsid w:val="007C1D45"/>
    <w:rsid w:val="007E6971"/>
    <w:rsid w:val="00816730"/>
    <w:rsid w:val="008244EB"/>
    <w:rsid w:val="00832463"/>
    <w:rsid w:val="00840EB6"/>
    <w:rsid w:val="00861709"/>
    <w:rsid w:val="00875010"/>
    <w:rsid w:val="00886FBE"/>
    <w:rsid w:val="008C5035"/>
    <w:rsid w:val="008D1421"/>
    <w:rsid w:val="008D5C4F"/>
    <w:rsid w:val="00900997"/>
    <w:rsid w:val="0093671F"/>
    <w:rsid w:val="00980A7F"/>
    <w:rsid w:val="009832F7"/>
    <w:rsid w:val="009A5FAC"/>
    <w:rsid w:val="009C518B"/>
    <w:rsid w:val="009D303D"/>
    <w:rsid w:val="00A21C51"/>
    <w:rsid w:val="00A27BB1"/>
    <w:rsid w:val="00A33D70"/>
    <w:rsid w:val="00A36F24"/>
    <w:rsid w:val="00A4604C"/>
    <w:rsid w:val="00A46AF8"/>
    <w:rsid w:val="00A73875"/>
    <w:rsid w:val="00A93DD7"/>
    <w:rsid w:val="00A94AE6"/>
    <w:rsid w:val="00AB1411"/>
    <w:rsid w:val="00AB5BE2"/>
    <w:rsid w:val="00AF25F6"/>
    <w:rsid w:val="00AF2A96"/>
    <w:rsid w:val="00B04850"/>
    <w:rsid w:val="00B260C7"/>
    <w:rsid w:val="00B30958"/>
    <w:rsid w:val="00B72463"/>
    <w:rsid w:val="00B86F57"/>
    <w:rsid w:val="00BA3DBB"/>
    <w:rsid w:val="00BA513F"/>
    <w:rsid w:val="00BC23B7"/>
    <w:rsid w:val="00BF5C46"/>
    <w:rsid w:val="00C322D3"/>
    <w:rsid w:val="00C549AC"/>
    <w:rsid w:val="00C560FB"/>
    <w:rsid w:val="00C70B96"/>
    <w:rsid w:val="00C75ED0"/>
    <w:rsid w:val="00C76869"/>
    <w:rsid w:val="00CC220C"/>
    <w:rsid w:val="00CE0D43"/>
    <w:rsid w:val="00CE55F5"/>
    <w:rsid w:val="00CF00AC"/>
    <w:rsid w:val="00D13FD7"/>
    <w:rsid w:val="00D473BB"/>
    <w:rsid w:val="00D512B1"/>
    <w:rsid w:val="00D51569"/>
    <w:rsid w:val="00D643D6"/>
    <w:rsid w:val="00DA20E3"/>
    <w:rsid w:val="00DB1EEA"/>
    <w:rsid w:val="00DC230D"/>
    <w:rsid w:val="00DC42CC"/>
    <w:rsid w:val="00DD6094"/>
    <w:rsid w:val="00E0196D"/>
    <w:rsid w:val="00E30F3A"/>
    <w:rsid w:val="00E44173"/>
    <w:rsid w:val="00ED3A4D"/>
    <w:rsid w:val="00ED5E67"/>
    <w:rsid w:val="00F06749"/>
    <w:rsid w:val="00F633EE"/>
    <w:rsid w:val="00F74BE6"/>
    <w:rsid w:val="00F833F6"/>
    <w:rsid w:val="00FC72A7"/>
    <w:rsid w:val="00FF1A4D"/>
    <w:rsid w:val="00FF3D0A"/>
    <w:rsid w:val="00FF5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716"/>
  <w15:chartTrackingRefBased/>
  <w15:docId w15:val="{83248422-112C-43A6-ADA9-84334385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B1"/>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27BB1"/>
    <w:rPr>
      <w:rFonts w:ascii="Arial" w:eastAsia="Calibri" w:hAnsi="Arial"/>
      <w:sz w:val="20"/>
      <w:szCs w:val="20"/>
    </w:rPr>
  </w:style>
  <w:style w:type="character" w:customStyle="1" w:styleId="FootnoteTextChar">
    <w:name w:val="Footnote Text Char"/>
    <w:basedOn w:val="DefaultParagraphFont"/>
    <w:link w:val="FootnoteText"/>
    <w:uiPriority w:val="99"/>
    <w:rsid w:val="00A27BB1"/>
    <w:rPr>
      <w:rFonts w:ascii="Arial" w:eastAsia="Calibri" w:hAnsi="Arial" w:cs="Times New Roman"/>
      <w:kern w:val="0"/>
      <w:sz w:val="20"/>
      <w:szCs w:val="20"/>
      <w:lang w:eastAsia="lt-LT"/>
      <w14:ligatures w14:val="none"/>
    </w:rPr>
  </w:style>
  <w:style w:type="character" w:styleId="FootnoteReference">
    <w:name w:val="footnote reference"/>
    <w:uiPriority w:val="99"/>
    <w:rsid w:val="00A27BB1"/>
    <w:rPr>
      <w:rFonts w:cs="Times New Roman"/>
      <w:vertAlign w:val="superscript"/>
    </w:rPr>
  </w:style>
  <w:style w:type="table" w:styleId="TableGrid">
    <w:name w:val="Table Grid"/>
    <w:basedOn w:val="TableNormal"/>
    <w:rsid w:val="00A27BB1"/>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A27BB1"/>
    <w:pPr>
      <w:ind w:left="720"/>
      <w:contextualSpacing/>
    </w:pPr>
    <w:rPr>
      <w:szCs w:val="20"/>
      <w:lang w:eastAsia="en-US"/>
    </w:rPr>
  </w:style>
  <w:style w:type="character" w:styleId="CommentReference">
    <w:name w:val="annotation reference"/>
    <w:basedOn w:val="DefaultParagraphFont"/>
    <w:uiPriority w:val="99"/>
    <w:semiHidden/>
    <w:unhideWhenUsed/>
    <w:rsid w:val="00127759"/>
    <w:rPr>
      <w:sz w:val="16"/>
      <w:szCs w:val="16"/>
    </w:rPr>
  </w:style>
  <w:style w:type="paragraph" w:styleId="CommentText">
    <w:name w:val="annotation text"/>
    <w:basedOn w:val="Normal"/>
    <w:link w:val="CommentTextChar"/>
    <w:uiPriority w:val="99"/>
    <w:unhideWhenUsed/>
    <w:rsid w:val="00127759"/>
    <w:rPr>
      <w:sz w:val="20"/>
      <w:szCs w:val="20"/>
    </w:rPr>
  </w:style>
  <w:style w:type="character" w:customStyle="1" w:styleId="CommentTextChar">
    <w:name w:val="Comment Text Char"/>
    <w:basedOn w:val="DefaultParagraphFont"/>
    <w:link w:val="CommentText"/>
    <w:uiPriority w:val="99"/>
    <w:rsid w:val="00127759"/>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27759"/>
    <w:rPr>
      <w:b/>
      <w:bCs/>
    </w:rPr>
  </w:style>
  <w:style w:type="character" w:customStyle="1" w:styleId="CommentSubjectChar">
    <w:name w:val="Comment Subject Char"/>
    <w:basedOn w:val="CommentTextChar"/>
    <w:link w:val="CommentSubject"/>
    <w:uiPriority w:val="99"/>
    <w:semiHidden/>
    <w:rsid w:val="00127759"/>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197D8-02CE-47FE-A7F1-F90F55A2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3159</Words>
  <Characters>1801</Characters>
  <Application>Microsoft Office Word</Application>
  <DocSecurity>4</DocSecurity>
  <Lines>15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Motieka</dc:creator>
  <cp:lastModifiedBy>Neda Černiauskaitė</cp:lastModifiedBy>
  <cp:revision>2</cp:revision>
  <dcterms:created xsi:type="dcterms:W3CDTF">2025-11-06T11:43:00Z</dcterms:created>
  <dcterms:modified xsi:type="dcterms:W3CDTF">2025-11-06T11:43:00Z</dcterms:modified>
</cp:coreProperties>
</file>